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29E14207" w14:textId="17B4D1AE" w:rsidR="00044989" w:rsidRPr="00D27399" w:rsidRDefault="00612931" w:rsidP="00044989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mallCaps/>
          <w:sz w:val="40"/>
          <w:szCs w:val="40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044989">
        <w:rPr>
          <w:rFonts w:asciiTheme="minorHAnsi" w:hAnsiTheme="minorHAnsi"/>
          <w:b/>
          <w:i/>
          <w:sz w:val="32"/>
        </w:rPr>
        <w:t>Multimodální osobní doprava – přestupní terminály a parkovací systémy</w:t>
      </w:r>
    </w:p>
    <w:p w14:paraId="0248D670" w14:textId="41AEE028" w:rsidR="00612931" w:rsidRPr="00612931" w:rsidRDefault="00006932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(Výzva č. 1</w:t>
      </w:r>
      <w:r w:rsidR="00044989">
        <w:rPr>
          <w:rFonts w:asciiTheme="minorHAnsi" w:hAnsiTheme="minorHAnsi" w:cstheme="minorHAnsi"/>
          <w:b/>
          <w:bCs/>
          <w:sz w:val="32"/>
          <w:szCs w:val="32"/>
        </w:rPr>
        <w:t>3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244E1F85" w14:textId="77777777" w:rsidR="00612931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07758C" w:rsidRPr="00006932">
              <w:rPr>
                <w:rFonts w:asciiTheme="minorHAnsi" w:hAnsiTheme="minorHAnsi" w:cstheme="minorHAnsi"/>
                <w:sz w:val="22"/>
                <w:szCs w:val="22"/>
              </w:rPr>
              <w:t>Podpora udržitelné multimodální městské mobility v rámci přechodu na uhlíkově neutrální hospodářství</w:t>
            </w:r>
          </w:p>
          <w:p w14:paraId="1FAEEB28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197A9C6C" w14:textId="641F2118" w:rsidR="00612931" w:rsidRPr="00006932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 </w:t>
            </w:r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Zlepšení dopravních vztahů, rozvoj multimodální nízkoemisní a bezemisní městské </w:t>
            </w:r>
            <w:proofErr w:type="gramStart"/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dopravy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proofErr w:type="gramEnd"/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1.1.</w:t>
            </w:r>
            <w:r w:rsidR="005B0C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B0C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Výstavba a modernizace přestupních terminálů a kapacit pro záchytné parkování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31095B07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D4365" w:rsidRPr="006D4365">
              <w:rPr>
                <w:rFonts w:asciiTheme="minorHAnsi" w:hAnsiTheme="minorHAnsi" w:cstheme="minorHAnsi"/>
                <w:sz w:val="22"/>
                <w:szCs w:val="22"/>
              </w:rPr>
              <w:t xml:space="preserve">stručný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736B554A" w14:textId="77777777" w:rsidR="006D4365" w:rsidRPr="006D4365" w:rsidRDefault="00612931" w:rsidP="006D43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="006D4365" w:rsidRPr="006D4365">
              <w:rPr>
                <w:rFonts w:asciiTheme="minorHAnsi" w:hAnsiTheme="minorHAnsi" w:cstheme="minorHAnsi"/>
                <w:sz w:val="22"/>
                <w:szCs w:val="22"/>
              </w:rPr>
              <w:t>návrh změny, očekávaný cílový stav, cílové skupiny; popis řešení problémů, popis aktivit, na které případně projekt navazuje, popis technické realizace projektu, popis zajištění udržitelnosti</w:t>
            </w:r>
          </w:p>
          <w:p w14:paraId="5868A23B" w14:textId="77B3EF1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318DD47A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r w:rsid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  <w:r w:rsidR="00FD0539">
              <w:rPr>
                <w:rFonts w:asciiTheme="minorHAnsi" w:hAnsiTheme="minorHAnsi"/>
                <w:sz w:val="22"/>
              </w:rPr>
              <w:t xml:space="preserve"> </w:t>
            </w:r>
            <w:r w:rsidR="00FD0539" w:rsidRPr="00006932">
              <w:rPr>
                <w:rFonts w:asciiTheme="minorHAnsi" w:hAnsiTheme="minorHAnsi"/>
                <w:sz w:val="22"/>
              </w:rPr>
              <w:t>(zejména veřejnou infrastrukturu – školy, úřady)</w:t>
            </w:r>
            <w:r w:rsidR="008C4099">
              <w:rPr>
                <w:rFonts w:asciiTheme="minorHAnsi" w:hAnsiTheme="minorHAnsi"/>
                <w:sz w:val="22"/>
              </w:rPr>
              <w:t>. Popište ve struktuře, uvedené ve Specifických kritériích přijatelnosti</w:t>
            </w:r>
            <w:r w:rsidR="007D58F1">
              <w:rPr>
                <w:rFonts w:asciiTheme="minorHAnsi" w:hAnsiTheme="minorHAnsi"/>
                <w:sz w:val="22"/>
              </w:rPr>
              <w:t>.</w:t>
            </w:r>
          </w:p>
        </w:tc>
      </w:tr>
    </w:tbl>
    <w:p w14:paraId="495FACDA" w14:textId="708567F6" w:rsidR="00612931" w:rsidRPr="00BF6432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099" w:rsidRPr="00BF6432" w14:paraId="416609E2" w14:textId="77777777" w:rsidTr="008C4099">
        <w:tc>
          <w:tcPr>
            <w:tcW w:w="9062" w:type="dxa"/>
          </w:tcPr>
          <w:p w14:paraId="7820124D" w14:textId="1466AF29" w:rsidR="00BF6432" w:rsidRPr="00BF6432" w:rsidRDefault="008C4099" w:rsidP="00BF643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  <w:r w:rsidR="007D58F1" w:rsidRPr="00BF6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BF6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zda </w:t>
            </w:r>
            <w:r w:rsidR="00E47995" w:rsidRPr="00BF6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 </w:t>
            </w:r>
            <w:r w:rsidRPr="00BF6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projektový záměr</w:t>
            </w:r>
            <w:r w:rsidRPr="00BF6432">
              <w:rPr>
                <w:rFonts w:asciiTheme="minorHAnsi" w:hAnsiTheme="minorHAnsi" w:cstheme="minorHAnsi"/>
                <w:sz w:val="22"/>
                <w:szCs w:val="22"/>
              </w:rPr>
              <w:t xml:space="preserve"> v souladu </w:t>
            </w:r>
          </w:p>
          <w:p w14:paraId="220A998F" w14:textId="77777777" w:rsidR="00BF6432" w:rsidRPr="00BF6432" w:rsidRDefault="00BF6432" w:rsidP="00BF6432">
            <w:pPr>
              <w:pStyle w:val="Zkladnodstavec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64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obec s více než 40 tis. obyvateli – soulad projektu s Plánem udržitelné městské mobility</w:t>
            </w:r>
          </w:p>
          <w:p w14:paraId="3D17951B" w14:textId="77777777" w:rsidR="00BF6432" w:rsidRPr="00BF6432" w:rsidRDefault="00BF6432" w:rsidP="00BF6432">
            <w:pPr>
              <w:pStyle w:val="Zkladnodstavec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6432">
              <w:rPr>
                <w:rFonts w:asciiTheme="minorHAnsi" w:hAnsiTheme="minorHAnsi" w:cstheme="minorHAnsi"/>
                <w:sz w:val="22"/>
                <w:szCs w:val="22"/>
              </w:rPr>
              <w:t>obec s, nebo méně než 40 tis. obyvateli – soulad projektu s Plánem udržitelné městské mobility, nebo Plánem dopravní obslužnosti města či kraje, nebo jinou strategií příslušného dopravního módu schvalovanou samosprávou</w:t>
            </w:r>
          </w:p>
          <w:p w14:paraId="080E505C" w14:textId="78CAAAF8" w:rsidR="00BF6432" w:rsidRPr="00BF6432" w:rsidRDefault="006E2B60" w:rsidP="00BF6432">
            <w:pPr>
              <w:pStyle w:val="Zkladnodstavec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64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Uveďte, jak je projektový záměr v</w:t>
            </w:r>
            <w:r w:rsidR="00BF6432" w:rsidRPr="00BF64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 </w:t>
            </w:r>
            <w:r w:rsidRPr="00BF643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soulad</w:t>
            </w:r>
            <w:r w:rsidR="00BF6432" w:rsidRPr="00BF64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</w:p>
          <w:p w14:paraId="796C0E1B" w14:textId="66D80395" w:rsidR="009D47A8" w:rsidRPr="00BF6432" w:rsidRDefault="006E2B60" w:rsidP="00BF6432">
            <w:pPr>
              <w:pStyle w:val="Zkladnodstavec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F64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 </w:t>
            </w:r>
            <w:r w:rsidR="00BE5AB8" w:rsidRPr="00BF6432">
              <w:rPr>
                <w:rFonts w:asciiTheme="minorHAnsi" w:hAnsiTheme="minorHAnsi" w:cstheme="minorHAnsi"/>
                <w:sz w:val="22"/>
                <w:szCs w:val="22"/>
              </w:rPr>
              <w:t>Koncepcí rozvoje páteřních cyklotras a infrastruktury pro podporu nemotorové dopravy pro zajištění dopravní obslužnosti spádového území Českých Budějovic (viz Příloha č. 3 výzvy).</w:t>
            </w:r>
          </w:p>
        </w:tc>
      </w:tr>
    </w:tbl>
    <w:p w14:paraId="48F2389C" w14:textId="0F729669" w:rsidR="008C4099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942" w14:paraId="47D10E65" w14:textId="77777777" w:rsidTr="00216942">
        <w:tc>
          <w:tcPr>
            <w:tcW w:w="9062" w:type="dxa"/>
          </w:tcPr>
          <w:p w14:paraId="23672A5E" w14:textId="09E1BE84" w:rsidR="00216942" w:rsidRPr="006D4365" w:rsidRDefault="00216942" w:rsidP="0061293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4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případě realizace projektu</w:t>
            </w:r>
            <w:r w:rsidRPr="006D4365">
              <w:rPr>
                <w:rFonts w:asciiTheme="minorHAnsi" w:hAnsiTheme="minorHAnsi" w:cstheme="minorHAnsi"/>
                <w:sz w:val="22"/>
                <w:szCs w:val="22"/>
              </w:rPr>
              <w:t xml:space="preserve"> na vybudování, či modernizaci přestupního uzlu, uveďte, zda je dodržena podmínka, že v běžný pracovní den odjede z přestupního uzlu více než 40 spojů linek veřejné dopravy.</w:t>
            </w:r>
          </w:p>
        </w:tc>
      </w:tr>
    </w:tbl>
    <w:p w14:paraId="3A00F68A" w14:textId="3EB39757" w:rsidR="008C4099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1C3F798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  <w:r w:rsidR="006D4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9D47A8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453993B0" w:rsidR="00612931" w:rsidRPr="009D47A8" w:rsidRDefault="00E53921" w:rsidP="00E53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Výstavba a modernizace přestupních terminálů pro veřejnou dopravu </w:t>
            </w:r>
            <w:r w:rsidR="00612931" w:rsidRPr="009D47A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054F0B6B" w:rsidR="00612931" w:rsidRPr="009D47A8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4EB" w:rsidRPr="009D47A8" w14:paraId="1B1F4799" w14:textId="77777777" w:rsidTr="00FD0539">
        <w:tc>
          <w:tcPr>
            <w:tcW w:w="9062" w:type="dxa"/>
          </w:tcPr>
          <w:p w14:paraId="552F8572" w14:textId="0CDE3F93" w:rsidR="00FD0539" w:rsidRPr="009D47A8" w:rsidRDefault="00E53921" w:rsidP="00E53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Výstavba a modernizace parkovacích systémů zajišťujících přestup na veřejnou dopravu (P+R, K+R, B+R) </w:t>
            </w:r>
            <w:r w:rsidR="00A414EB"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414EB"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475C204" w14:textId="184C9AF6" w:rsidR="00FD0539" w:rsidRPr="009D47A8" w:rsidRDefault="00FD053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6932" w:rsidRPr="009D47A8" w14:paraId="24E5A625" w14:textId="77777777" w:rsidTr="00FD0539">
        <w:tc>
          <w:tcPr>
            <w:tcW w:w="9062" w:type="dxa"/>
          </w:tcPr>
          <w:p w14:paraId="7D9A5617" w14:textId="425B8CF0" w:rsidR="00FD0539" w:rsidRPr="009D47A8" w:rsidRDefault="00E53921" w:rsidP="006129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Realizace preferenčních opatření a zvyšování kapacity veřejné dopravy stavebními úpravami silnic a místních </w:t>
            </w:r>
            <w:proofErr w:type="gramStart"/>
            <w:r w:rsidRPr="009D47A8">
              <w:rPr>
                <w:rFonts w:asciiTheme="minorHAnsi" w:hAnsiTheme="minorHAnsi" w:cstheme="minorHAnsi"/>
                <w:sz w:val="22"/>
                <w:szCs w:val="22"/>
              </w:rPr>
              <w:t>komunikací</w:t>
            </w: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ANO</w:t>
            </w:r>
            <w:proofErr w:type="gramEnd"/>
            <w:r w:rsidR="00A414EB"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/NE</w:t>
            </w:r>
          </w:p>
        </w:tc>
      </w:tr>
    </w:tbl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280FE94" w14:textId="77777777" w:rsidR="00E47995" w:rsidRDefault="00E47995" w:rsidP="00612931">
      <w:pPr>
        <w:jc w:val="both"/>
        <w:rPr>
          <w:rFonts w:asciiTheme="minorHAnsi" w:hAnsiTheme="minorHAnsi" w:cstheme="minorHAnsi"/>
          <w:b/>
          <w:bCs/>
        </w:rPr>
      </w:pPr>
    </w:p>
    <w:p w14:paraId="3E587530" w14:textId="4FE6BD78" w:rsidR="00612931" w:rsidRDefault="006D4365" w:rsidP="0061293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Upozorňujeme žadatele, že aktivita multimodální veřejné dopravy bude podléhat tzv. motivačnímu účinku projektů v sou</w:t>
      </w:r>
      <w:r w:rsidR="00E47995">
        <w:rPr>
          <w:rFonts w:asciiTheme="minorHAnsi" w:hAnsiTheme="minorHAnsi" w:cstheme="minorHAnsi"/>
          <w:b/>
          <w:bCs/>
        </w:rPr>
        <w:t>la</w:t>
      </w:r>
      <w:r>
        <w:rPr>
          <w:rFonts w:asciiTheme="minorHAnsi" w:hAnsiTheme="minorHAnsi" w:cstheme="minorHAnsi"/>
          <w:b/>
          <w:bCs/>
        </w:rPr>
        <w:t xml:space="preserve">du s nařízením Komise (EU) č. 651‘/2014, z čehož může plynout řada omezení při přípravě a realizaci </w:t>
      </w:r>
      <w:r w:rsidR="00E47995">
        <w:rPr>
          <w:rFonts w:asciiTheme="minorHAnsi" w:hAnsiTheme="minorHAnsi" w:cstheme="minorHAnsi"/>
          <w:b/>
          <w:bCs/>
        </w:rPr>
        <w:t>projektu</w:t>
      </w:r>
      <w:r>
        <w:rPr>
          <w:rFonts w:asciiTheme="minorHAnsi" w:hAnsiTheme="minorHAnsi" w:cstheme="minorHAnsi"/>
          <w:b/>
          <w:bCs/>
        </w:rPr>
        <w:t xml:space="preserve"> v kontextu plánovaného </w:t>
      </w:r>
      <w:r w:rsidR="00E47995">
        <w:rPr>
          <w:rFonts w:asciiTheme="minorHAnsi" w:hAnsiTheme="minorHAnsi" w:cstheme="minorHAnsi"/>
          <w:b/>
          <w:bCs/>
        </w:rPr>
        <w:t>termínu</w:t>
      </w:r>
      <w:r>
        <w:rPr>
          <w:rFonts w:asciiTheme="minorHAnsi" w:hAnsiTheme="minorHAnsi" w:cstheme="minorHAnsi"/>
          <w:b/>
          <w:bCs/>
        </w:rPr>
        <w:t xml:space="preserve"> podání </w:t>
      </w:r>
      <w:r w:rsidR="00E47995">
        <w:rPr>
          <w:rFonts w:asciiTheme="minorHAnsi" w:hAnsiTheme="minorHAnsi" w:cstheme="minorHAnsi"/>
          <w:b/>
          <w:bCs/>
        </w:rPr>
        <w:t>žádosti</w:t>
      </w:r>
      <w:r>
        <w:rPr>
          <w:rFonts w:asciiTheme="minorHAnsi" w:hAnsiTheme="minorHAnsi" w:cstheme="minorHAnsi"/>
          <w:b/>
          <w:bCs/>
        </w:rPr>
        <w:t xml:space="preserve"> o podporu do výzvy Řídicího orgánu.</w:t>
      </w:r>
      <w:r w:rsidR="00BF6432">
        <w:rPr>
          <w:rFonts w:asciiTheme="minorHAnsi" w:hAnsiTheme="minorHAnsi" w:cstheme="minorHAnsi"/>
          <w:b/>
          <w:bCs/>
        </w:rPr>
        <w:t xml:space="preserve"> </w:t>
      </w:r>
    </w:p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039DC8C6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 (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vyberte ze seznamu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nejvyšší stupeň přípravy</w:t>
            </w:r>
            <w:r w:rsidR="00CD338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 okomentujte, 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ostatní smažte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9D47A8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575022DE" w:rsidR="009D47A8" w:rsidRPr="00612931" w:rsidRDefault="009D47A8" w:rsidP="009D47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Projekt je fázi přípravy – záměru/vize/ idey</w:t>
            </w:r>
          </w:p>
        </w:tc>
      </w:tr>
      <w:tr w:rsidR="009D47A8" w:rsidRPr="00612931" w14:paraId="6B5152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4C1D692" w14:textId="688CE2C1" w:rsidR="009D47A8" w:rsidRPr="00612931" w:rsidRDefault="009D47A8" w:rsidP="009D47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studie (např. architektonická studie, urbanistická studie, studie proveditelnosti, územní studie)</w:t>
            </w:r>
          </w:p>
        </w:tc>
      </w:tr>
      <w:tr w:rsidR="009D47A8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22CA4CAD" w:rsidR="009D47A8" w:rsidRPr="00BF6432" w:rsidRDefault="009D47A8" w:rsidP="00BF6432">
            <w:pPr>
              <w:pStyle w:val="Zkladnodstavec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Bylo vyhlášeno zadávací řízení na zpracovatele projektové dokumentace projektu.</w:t>
            </w:r>
          </w:p>
        </w:tc>
      </w:tr>
      <w:tr w:rsidR="009D47A8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271DB304" w:rsidR="009D47A8" w:rsidRPr="00612931" w:rsidRDefault="009D47A8" w:rsidP="009D47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Žadatel má podepsanou smlouvu se zpracovatelem projektové dokumentace.</w:t>
            </w:r>
          </w:p>
        </w:tc>
      </w:tr>
      <w:tr w:rsidR="009D47A8" w:rsidRPr="00612931" w14:paraId="40A6BC4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63D16F7" w14:textId="1C54DA24" w:rsidR="009D47A8" w:rsidRPr="00612931" w:rsidRDefault="009D47A8" w:rsidP="009D47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 xml:space="preserve">Je zpracována projektová dokumentace pro povolovací řízení (DUR, DSP, </w:t>
            </w:r>
            <w:proofErr w:type="gramStart"/>
            <w:r>
              <w:rPr>
                <w:rFonts w:asciiTheme="minorHAnsi" w:hAnsiTheme="minorHAnsi"/>
                <w:sz w:val="22"/>
              </w:rPr>
              <w:t>DOS)</w:t>
            </w:r>
            <w:r>
              <w:rPr>
                <w:rFonts w:ascii="Calibri" w:hAnsi="Calibri" w:cs="Calibri"/>
                <w:sz w:val="22"/>
              </w:rPr>
              <w:t>²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nebo dokumentace pro případy, kdy projekt nepodléhá povolovacímu řízení.</w:t>
            </w:r>
          </w:p>
        </w:tc>
      </w:tr>
      <w:tr w:rsidR="009D47A8" w:rsidRPr="00612931" w14:paraId="4B2BC5EE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5A961836" w14:textId="7E414814" w:rsidR="009D47A8" w:rsidRDefault="009D47A8" w:rsidP="009D47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zahájeno stavební řízení.</w:t>
            </w:r>
          </w:p>
        </w:tc>
      </w:tr>
      <w:tr w:rsidR="009D47A8" w:rsidRPr="00612931" w14:paraId="755EBF3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5F8B12D8" w14:textId="29771F87" w:rsidR="009D47A8" w:rsidRDefault="009D47A8" w:rsidP="009D47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vydán platný souhlas s ohlášením stavby, územní souhlas, územní rozhodnutí, stavební povolení nebo společné územní rozhodnutí a stavební povolení. Eventuelně je podepsána veřejnoprávní smlouva, příp. vyjádření stavebního úřadu, že tento typ akce nepodléhá posuzování ze strany stavebního úřadu.</w:t>
            </w:r>
          </w:p>
        </w:tc>
      </w:tr>
    </w:tbl>
    <w:p w14:paraId="34C40E2D" w14:textId="32785E3C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7E5351AD" w:rsidR="00612931" w:rsidRPr="00612931" w:rsidRDefault="00612931" w:rsidP="00800A5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akce </w:t>
            </w:r>
            <w:r w:rsidR="00800A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="00800A5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projednání v zastupitelstvu obce, zajištění financování v rozpočtovém výhledu ap., způsob financování akce (název existujícího dokumentu/ů, kterými lze zde uvedené doložit)</w:t>
            </w:r>
          </w:p>
        </w:tc>
      </w:tr>
    </w:tbl>
    <w:p w14:paraId="498F07AF" w14:textId="77777777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9D47A8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9D47A8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  <w:r w:rsidR="00BB7F3A"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B7F3A" w:rsidRPr="009D47A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9D47A8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9D47A8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9D47A8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9D47A8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Rok dosažení </w:t>
            </w:r>
          </w:p>
        </w:tc>
      </w:tr>
      <w:tr w:rsidR="00F72644" w:rsidRPr="009D47A8" w14:paraId="0C1B1727" w14:textId="77777777" w:rsidTr="007D58F1">
        <w:tblPrEx>
          <w:shd w:val="clear" w:color="auto" w:fill="auto"/>
        </w:tblPrEx>
        <w:trPr>
          <w:trHeight w:val="914"/>
        </w:trPr>
        <w:tc>
          <w:tcPr>
            <w:tcW w:w="4248" w:type="dxa"/>
            <w:vAlign w:val="center"/>
          </w:tcPr>
          <w:p w14:paraId="2D992E37" w14:textId="77777777" w:rsidR="00E53921" w:rsidRPr="009D47A8" w:rsidRDefault="00E53921" w:rsidP="00E539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Ukazatelé výstupů:</w:t>
            </w:r>
          </w:p>
          <w:p w14:paraId="688EB252" w14:textId="70FE19ED" w:rsidR="00E53921" w:rsidRPr="009D47A8" w:rsidRDefault="00E53921" w:rsidP="00E539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707 101: Nová nebo modernizovaná intermodální spojení </w:t>
            </w:r>
          </w:p>
          <w:p w14:paraId="1E557F46" w14:textId="4C98196C" w:rsidR="00F72644" w:rsidRPr="009D47A8" w:rsidRDefault="00F72644" w:rsidP="00E539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005999" w14:textId="44F7FA3D" w:rsidR="00F72644" w:rsidRPr="009D47A8" w:rsidRDefault="007D58F1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Intermodální </w:t>
            </w:r>
            <w:proofErr w:type="gramStart"/>
            <w:r w:rsidRPr="009D47A8">
              <w:rPr>
                <w:rFonts w:asciiTheme="minorHAnsi" w:hAnsiTheme="minorHAnsi" w:cstheme="minorHAnsi"/>
                <w:sz w:val="22"/>
                <w:szCs w:val="22"/>
              </w:rPr>
              <w:t>spojení - počet</w:t>
            </w:r>
            <w:proofErr w:type="gramEnd"/>
          </w:p>
        </w:tc>
        <w:tc>
          <w:tcPr>
            <w:tcW w:w="1134" w:type="dxa"/>
            <w:vAlign w:val="center"/>
          </w:tcPr>
          <w:p w14:paraId="157A3321" w14:textId="08F86A94" w:rsidR="00F72644" w:rsidRPr="009D47A8" w:rsidRDefault="007D58F1" w:rsidP="007D58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C0825B9" w14:textId="77777777" w:rsidR="00F72644" w:rsidRPr="009D47A8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F72644" w:rsidRPr="009D47A8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3921" w:rsidRPr="009D47A8" w14:paraId="31596581" w14:textId="77777777" w:rsidTr="007D58F1">
        <w:tblPrEx>
          <w:shd w:val="clear" w:color="auto" w:fill="auto"/>
        </w:tblPrEx>
        <w:trPr>
          <w:trHeight w:val="914"/>
        </w:trPr>
        <w:tc>
          <w:tcPr>
            <w:tcW w:w="4248" w:type="dxa"/>
            <w:vAlign w:val="center"/>
          </w:tcPr>
          <w:p w14:paraId="0A8571E2" w14:textId="5F3583B8" w:rsidR="00E53921" w:rsidRPr="009D47A8" w:rsidRDefault="00E53921" w:rsidP="00E539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740 010: Parkovací místa pro vozidla  </w:t>
            </w:r>
          </w:p>
        </w:tc>
        <w:tc>
          <w:tcPr>
            <w:tcW w:w="1417" w:type="dxa"/>
            <w:vAlign w:val="center"/>
          </w:tcPr>
          <w:p w14:paraId="3C6E90CB" w14:textId="536807C8" w:rsidR="00E53921" w:rsidRPr="009D47A8" w:rsidRDefault="007D58F1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>Počet parkovacích míst</w:t>
            </w:r>
          </w:p>
        </w:tc>
        <w:tc>
          <w:tcPr>
            <w:tcW w:w="1134" w:type="dxa"/>
            <w:vAlign w:val="center"/>
          </w:tcPr>
          <w:p w14:paraId="78B57D3B" w14:textId="3D1D54B5" w:rsidR="00E53921" w:rsidRPr="009D47A8" w:rsidRDefault="007D58F1" w:rsidP="007D58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5923731" w14:textId="77777777" w:rsidR="00E53921" w:rsidRPr="009D47A8" w:rsidRDefault="00E53921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355C4F42" w14:textId="77777777" w:rsidR="00E53921" w:rsidRPr="009D47A8" w:rsidRDefault="00E53921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2644" w:rsidRPr="009D47A8" w14:paraId="7CE039E2" w14:textId="77777777" w:rsidTr="007D58F1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0CC8D4DB" w14:textId="2C2B62C0" w:rsidR="00E53921" w:rsidRPr="009D47A8" w:rsidRDefault="00E53921" w:rsidP="00E539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 xml:space="preserve">764 010: Parkovací místa pro jízdní kola </w:t>
            </w:r>
          </w:p>
          <w:p w14:paraId="5AB8C5A4" w14:textId="0F9A9F37" w:rsidR="00F72644" w:rsidRPr="009D47A8" w:rsidRDefault="00F72644" w:rsidP="008C4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82FD97" w14:textId="324F7C17" w:rsidR="00F72644" w:rsidRPr="009D47A8" w:rsidRDefault="007D58F1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>Počet parkovacích míst</w:t>
            </w:r>
          </w:p>
        </w:tc>
        <w:tc>
          <w:tcPr>
            <w:tcW w:w="1134" w:type="dxa"/>
            <w:vAlign w:val="center"/>
          </w:tcPr>
          <w:p w14:paraId="254781F8" w14:textId="29476C49" w:rsidR="00F72644" w:rsidRPr="009D47A8" w:rsidRDefault="007D58F1" w:rsidP="007D58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351C12A" w14:textId="77777777" w:rsidR="00F72644" w:rsidRPr="009D47A8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326C3955" w14:textId="77777777" w:rsidR="00F72644" w:rsidRPr="009D47A8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3921" w:rsidRPr="009D47A8" w14:paraId="58CAEA22" w14:textId="77777777" w:rsidTr="007D58F1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6EECE7D7" w14:textId="02141037" w:rsidR="00E53921" w:rsidRPr="009D47A8" w:rsidRDefault="00E53921" w:rsidP="00E539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>751 001: Délka komunikace s realizovaným preferenčním nebo kapacitním opatřením pro veřejnou dopravu</w:t>
            </w:r>
          </w:p>
        </w:tc>
        <w:tc>
          <w:tcPr>
            <w:tcW w:w="1417" w:type="dxa"/>
            <w:vAlign w:val="center"/>
          </w:tcPr>
          <w:p w14:paraId="11872376" w14:textId="0AB2D094" w:rsidR="00E53921" w:rsidRPr="009D47A8" w:rsidRDefault="007D58F1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1134" w:type="dxa"/>
            <w:vAlign w:val="center"/>
          </w:tcPr>
          <w:p w14:paraId="08681F31" w14:textId="3411FFC4" w:rsidR="00E53921" w:rsidRPr="009D47A8" w:rsidRDefault="007D58F1" w:rsidP="007D58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D814C8E" w14:textId="77777777" w:rsidR="00E53921" w:rsidRPr="009D47A8" w:rsidRDefault="00E53921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0462AE71" w14:textId="77777777" w:rsidR="00E53921" w:rsidRPr="009D47A8" w:rsidRDefault="00E53921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67D1B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14DA8BD5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  <w:r w:rsid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1F332101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  <w:r w:rsid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0785E6CD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  <w:r w:rsidR="009D4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BF6432" w:rsidRPr="00612931" w14:paraId="6C5F203E" w14:textId="77777777" w:rsidTr="00DF7753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BF6432" w:rsidRPr="00612931" w:rsidRDefault="00BF6432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1FAE1D72" w14:textId="125D135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09AA9890" w14:textId="16D4514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</w:tcPr>
          <w:p w14:paraId="17CD5031" w14:textId="76750C6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="00A41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414EB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(</w:t>
            </w:r>
            <w:proofErr w:type="gramStart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70%</w:t>
            </w:r>
            <w:proofErr w:type="gramEnd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ze způsobilých výdajů – dotace EU)</w:t>
            </w:r>
            <w:r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BF6432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BF6432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BF6432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BF6432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2"/>
      <w:footerReference w:type="default" r:id="rId13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55E3" w14:textId="77777777" w:rsidR="00350C9D" w:rsidRDefault="00350C9D">
      <w:r>
        <w:separator/>
      </w:r>
    </w:p>
  </w:endnote>
  <w:endnote w:type="continuationSeparator" w:id="0">
    <w:p w14:paraId="27705425" w14:textId="77777777" w:rsidR="00350C9D" w:rsidRDefault="0035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350C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37A0" w14:textId="77777777" w:rsidR="00350C9D" w:rsidRDefault="00350C9D">
      <w:r>
        <w:separator/>
      </w:r>
    </w:p>
  </w:footnote>
  <w:footnote w:type="continuationSeparator" w:id="0">
    <w:p w14:paraId="408FDB0D" w14:textId="77777777" w:rsidR="00350C9D" w:rsidRDefault="0035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9694D"/>
    <w:multiLevelType w:val="hybridMultilevel"/>
    <w:tmpl w:val="4502D6BA"/>
    <w:lvl w:ilvl="0" w:tplc="E65AC732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1018D"/>
    <w:multiLevelType w:val="hybridMultilevel"/>
    <w:tmpl w:val="4FD29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8"/>
  </w:num>
  <w:num w:numId="5" w16cid:durableId="1134910529">
    <w:abstractNumId w:val="20"/>
  </w:num>
  <w:num w:numId="6" w16cid:durableId="844593316">
    <w:abstractNumId w:val="15"/>
  </w:num>
  <w:num w:numId="7" w16cid:durableId="1753163879">
    <w:abstractNumId w:val="23"/>
  </w:num>
  <w:num w:numId="8" w16cid:durableId="1876623867">
    <w:abstractNumId w:val="17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9"/>
  </w:num>
  <w:num w:numId="12" w16cid:durableId="961224629">
    <w:abstractNumId w:val="2"/>
  </w:num>
  <w:num w:numId="13" w16cid:durableId="437876689">
    <w:abstractNumId w:val="14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6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1"/>
  </w:num>
  <w:num w:numId="21" w16cid:durableId="113444680">
    <w:abstractNumId w:val="22"/>
  </w:num>
  <w:num w:numId="22" w16cid:durableId="433986723">
    <w:abstractNumId w:val="21"/>
  </w:num>
  <w:num w:numId="23" w16cid:durableId="798911347">
    <w:abstractNumId w:val="13"/>
  </w:num>
  <w:num w:numId="24" w16cid:durableId="898319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20E2F"/>
    <w:rsid w:val="00044989"/>
    <w:rsid w:val="00044F5B"/>
    <w:rsid w:val="00072766"/>
    <w:rsid w:val="0007758C"/>
    <w:rsid w:val="0008517D"/>
    <w:rsid w:val="00086EEF"/>
    <w:rsid w:val="0009166E"/>
    <w:rsid w:val="0009387E"/>
    <w:rsid w:val="000948FE"/>
    <w:rsid w:val="000A080C"/>
    <w:rsid w:val="000C401D"/>
    <w:rsid w:val="000C5990"/>
    <w:rsid w:val="000C608C"/>
    <w:rsid w:val="000D79DC"/>
    <w:rsid w:val="000E1010"/>
    <w:rsid w:val="000F3396"/>
    <w:rsid w:val="00100060"/>
    <w:rsid w:val="0011072A"/>
    <w:rsid w:val="00136840"/>
    <w:rsid w:val="00137FE7"/>
    <w:rsid w:val="00151D08"/>
    <w:rsid w:val="00162099"/>
    <w:rsid w:val="00175CC6"/>
    <w:rsid w:val="00180E39"/>
    <w:rsid w:val="001858B3"/>
    <w:rsid w:val="001A1349"/>
    <w:rsid w:val="001B5646"/>
    <w:rsid w:val="001B5B62"/>
    <w:rsid w:val="001C0538"/>
    <w:rsid w:val="001C4A2E"/>
    <w:rsid w:val="001E1DF6"/>
    <w:rsid w:val="001F0BD9"/>
    <w:rsid w:val="00215F1A"/>
    <w:rsid w:val="00216942"/>
    <w:rsid w:val="00217735"/>
    <w:rsid w:val="00221CDD"/>
    <w:rsid w:val="002374F6"/>
    <w:rsid w:val="002378EA"/>
    <w:rsid w:val="00254733"/>
    <w:rsid w:val="00291B84"/>
    <w:rsid w:val="002B4759"/>
    <w:rsid w:val="002C6F06"/>
    <w:rsid w:val="002C7A41"/>
    <w:rsid w:val="002D718F"/>
    <w:rsid w:val="002E0F0C"/>
    <w:rsid w:val="002E370E"/>
    <w:rsid w:val="00350C9D"/>
    <w:rsid w:val="0035456D"/>
    <w:rsid w:val="00354A7F"/>
    <w:rsid w:val="00354C86"/>
    <w:rsid w:val="003561B3"/>
    <w:rsid w:val="0036124E"/>
    <w:rsid w:val="00384A94"/>
    <w:rsid w:val="00391C0D"/>
    <w:rsid w:val="003968E9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0C85"/>
    <w:rsid w:val="005B7F97"/>
    <w:rsid w:val="005C7C25"/>
    <w:rsid w:val="005D1239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B7854"/>
    <w:rsid w:val="006D4365"/>
    <w:rsid w:val="006E2B60"/>
    <w:rsid w:val="006F5CEF"/>
    <w:rsid w:val="00702806"/>
    <w:rsid w:val="00723C93"/>
    <w:rsid w:val="00742976"/>
    <w:rsid w:val="0074786F"/>
    <w:rsid w:val="007520FD"/>
    <w:rsid w:val="0078780B"/>
    <w:rsid w:val="007A23FB"/>
    <w:rsid w:val="007B51C2"/>
    <w:rsid w:val="007D58F1"/>
    <w:rsid w:val="007D6482"/>
    <w:rsid w:val="00800A5A"/>
    <w:rsid w:val="00813E82"/>
    <w:rsid w:val="00817AE1"/>
    <w:rsid w:val="008308AB"/>
    <w:rsid w:val="00887996"/>
    <w:rsid w:val="008C3259"/>
    <w:rsid w:val="008C4099"/>
    <w:rsid w:val="008C5D98"/>
    <w:rsid w:val="009024D6"/>
    <w:rsid w:val="00904B35"/>
    <w:rsid w:val="00913D4B"/>
    <w:rsid w:val="00914F82"/>
    <w:rsid w:val="00935C28"/>
    <w:rsid w:val="009A09AC"/>
    <w:rsid w:val="009B0F42"/>
    <w:rsid w:val="009D47A8"/>
    <w:rsid w:val="009D7721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13F7"/>
    <w:rsid w:val="00AB7A29"/>
    <w:rsid w:val="00AF3D35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E5AB8"/>
    <w:rsid w:val="00BF0CE2"/>
    <w:rsid w:val="00BF56D1"/>
    <w:rsid w:val="00BF6432"/>
    <w:rsid w:val="00BF7E86"/>
    <w:rsid w:val="00C444C1"/>
    <w:rsid w:val="00C46072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D02034"/>
    <w:rsid w:val="00D02525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47995"/>
    <w:rsid w:val="00E50693"/>
    <w:rsid w:val="00E53921"/>
    <w:rsid w:val="00E569B7"/>
    <w:rsid w:val="00E7617F"/>
    <w:rsid w:val="00E87600"/>
    <w:rsid w:val="00E90B53"/>
    <w:rsid w:val="00E9431A"/>
    <w:rsid w:val="00EC1DF3"/>
    <w:rsid w:val="00ED0777"/>
    <w:rsid w:val="00F031B7"/>
    <w:rsid w:val="00F0376B"/>
    <w:rsid w:val="00F04225"/>
    <w:rsid w:val="00F04605"/>
    <w:rsid w:val="00F3028D"/>
    <w:rsid w:val="00F52589"/>
    <w:rsid w:val="00F53FE3"/>
    <w:rsid w:val="00F72644"/>
    <w:rsid w:val="00FC7995"/>
    <w:rsid w:val="00FD0539"/>
    <w:rsid w:val="00FD0EEC"/>
    <w:rsid w:val="00FD2D7A"/>
    <w:rsid w:val="00FD7BD9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10</cp:revision>
  <cp:lastPrinted>2022-07-17T15:41:00Z</cp:lastPrinted>
  <dcterms:created xsi:type="dcterms:W3CDTF">2022-07-16T06:54:00Z</dcterms:created>
  <dcterms:modified xsi:type="dcterms:W3CDTF">2022-07-17T15:41:00Z</dcterms:modified>
</cp:coreProperties>
</file>